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0" w:rsidRDefault="00FC565C">
      <w:pPr>
        <w:spacing w:line="300" w:lineRule="exact"/>
        <w:ind w:left="3540"/>
        <w:jc w:val="center"/>
      </w:pPr>
      <w:r>
        <w:rPr>
          <w:b/>
        </w:rPr>
        <w:t>Załączn</w:t>
      </w:r>
      <w:r w:rsidR="00E36BF7">
        <w:rPr>
          <w:b/>
        </w:rPr>
        <w:t>ik Nr  2</w:t>
      </w:r>
      <w:r w:rsidR="004A3446">
        <w:rPr>
          <w:b/>
        </w:rPr>
        <w:t xml:space="preserve"> od Zarządzenia </w:t>
      </w:r>
      <w:r w:rsidR="00B60D66">
        <w:rPr>
          <w:b/>
        </w:rPr>
        <w:t>101</w:t>
      </w:r>
      <w:r w:rsidR="004A3446">
        <w:rPr>
          <w:b/>
        </w:rPr>
        <w:t>/2020</w:t>
      </w:r>
    </w:p>
    <w:p w:rsidR="000D3EF0" w:rsidRDefault="00FC565C" w:rsidP="00BC3D8D">
      <w:pPr>
        <w:spacing w:line="300" w:lineRule="exact"/>
        <w:ind w:left="3540"/>
        <w:jc w:val="center"/>
      </w:pPr>
      <w:r>
        <w:rPr>
          <w:b/>
        </w:rPr>
        <w:t>Nadleśnicz</w:t>
      </w:r>
      <w:r w:rsidR="007E7FCC">
        <w:rPr>
          <w:b/>
        </w:rPr>
        <w:t>e</w:t>
      </w:r>
      <w:r w:rsidR="00B60D66">
        <w:rPr>
          <w:b/>
        </w:rPr>
        <w:t>go Nadleśnictwa Konin z dnia 06</w:t>
      </w:r>
      <w:r w:rsidR="007E7FCC">
        <w:rPr>
          <w:b/>
        </w:rPr>
        <w:t>.11</w:t>
      </w:r>
      <w:r w:rsidR="00BC3D8D">
        <w:rPr>
          <w:b/>
        </w:rPr>
        <w:t>.2020</w:t>
      </w:r>
      <w:r>
        <w:rPr>
          <w:b/>
        </w:rPr>
        <w:t xml:space="preserve">r </w:t>
      </w:r>
    </w:p>
    <w:p w:rsidR="000D3EF0" w:rsidRDefault="000D3EF0">
      <w:pPr>
        <w:spacing w:line="300" w:lineRule="exact"/>
        <w:jc w:val="center"/>
        <w:rPr>
          <w:b/>
        </w:rPr>
      </w:pPr>
    </w:p>
    <w:p w:rsidR="00BC3D8D" w:rsidRDefault="00FC565C" w:rsidP="00BC3D8D">
      <w:pPr>
        <w:spacing w:line="300" w:lineRule="exact"/>
        <w:jc w:val="center"/>
        <w:rPr>
          <w:b/>
        </w:rPr>
      </w:pPr>
      <w:r>
        <w:rPr>
          <w:b/>
        </w:rPr>
        <w:t>„Regulamin przeprowadzenia przetargu na dzierżawę</w:t>
      </w:r>
      <w:r w:rsidR="00BC3D8D">
        <w:rPr>
          <w:b/>
        </w:rPr>
        <w:t xml:space="preserve"> </w:t>
      </w:r>
      <w:r>
        <w:rPr>
          <w:b/>
        </w:rPr>
        <w:t xml:space="preserve">gruntów pod wodami </w:t>
      </w:r>
    </w:p>
    <w:p w:rsidR="000D3EF0" w:rsidRPr="00BC3D8D" w:rsidRDefault="00FC565C" w:rsidP="00BC3D8D">
      <w:pPr>
        <w:spacing w:line="300" w:lineRule="exact"/>
        <w:jc w:val="center"/>
        <w:rPr>
          <w:b/>
        </w:rPr>
      </w:pPr>
      <w:r>
        <w:rPr>
          <w:b/>
        </w:rPr>
        <w:t>stanowiących własność Skarbu Państwa i pozostających w zarządzie Nadleśnictwa Konin”</w:t>
      </w:r>
    </w:p>
    <w:p w:rsidR="000D3EF0" w:rsidRDefault="000D3EF0">
      <w:pPr>
        <w:spacing w:line="300" w:lineRule="exact"/>
        <w:jc w:val="center"/>
        <w:rPr>
          <w:b/>
        </w:rPr>
      </w:pPr>
    </w:p>
    <w:p w:rsidR="000D3EF0" w:rsidRDefault="00FC565C">
      <w:pPr>
        <w:numPr>
          <w:ilvl w:val="0"/>
          <w:numId w:val="1"/>
        </w:numPr>
        <w:tabs>
          <w:tab w:val="left" w:pos="180"/>
        </w:tabs>
        <w:spacing w:line="300" w:lineRule="exact"/>
        <w:ind w:left="180" w:hanging="180"/>
        <w:jc w:val="both"/>
      </w:pPr>
      <w:r>
        <w:t xml:space="preserve"> Przetarg na dzierżawę </w:t>
      </w:r>
      <w:bookmarkStart w:id="0" w:name="__DdeLink__147_3668411234"/>
      <w:r>
        <w:t>gruntów pod wodami</w:t>
      </w:r>
      <w:bookmarkEnd w:id="0"/>
      <w:r w:rsidR="002C096F">
        <w:t xml:space="preserve"> pozostających w zarządzie </w:t>
      </w:r>
      <w:r>
        <w:t>Nadleśnictwa Konin, przeprowadza się w formie nieograniczonego publicznego przetargu ofert pisemnych.</w:t>
      </w:r>
    </w:p>
    <w:p w:rsidR="000D3EF0" w:rsidRDefault="00FC565C">
      <w:pPr>
        <w:numPr>
          <w:ilvl w:val="0"/>
          <w:numId w:val="1"/>
        </w:numPr>
        <w:tabs>
          <w:tab w:val="left" w:pos="180"/>
        </w:tabs>
        <w:spacing w:line="300" w:lineRule="exact"/>
        <w:ind w:left="180" w:hanging="180"/>
        <w:jc w:val="both"/>
      </w:pPr>
      <w:r>
        <w:t xml:space="preserve"> Przetarg ogłasza i przeprowadza Nadleśniczy Nadleśnictwa Konin.</w:t>
      </w:r>
    </w:p>
    <w:p w:rsidR="000D3EF0" w:rsidRDefault="00FC565C">
      <w:pPr>
        <w:numPr>
          <w:ilvl w:val="0"/>
          <w:numId w:val="1"/>
        </w:numPr>
        <w:tabs>
          <w:tab w:val="left" w:pos="180"/>
        </w:tabs>
        <w:spacing w:line="300" w:lineRule="exact"/>
        <w:ind w:left="180" w:hanging="180"/>
        <w:jc w:val="both"/>
      </w:pPr>
      <w:r>
        <w:t xml:space="preserve"> Przed rozpoczęciem przetargu można odstąpić od jego przeprowadzenia bez podania przyczyn.</w:t>
      </w:r>
    </w:p>
    <w:p w:rsidR="000D3EF0" w:rsidRDefault="00FC565C">
      <w:pPr>
        <w:spacing w:line="300" w:lineRule="exact"/>
        <w:jc w:val="both"/>
      </w:pPr>
      <w:r>
        <w:t xml:space="preserve">4. W przetargu mogą wziąć udział osoby, które spełnią </w:t>
      </w:r>
      <w:r>
        <w:rPr>
          <w:rStyle w:val="ustbparbustb"/>
        </w:rPr>
        <w:t>warunki podane w ogłoszeniu o  przetargu.</w:t>
      </w:r>
    </w:p>
    <w:p w:rsidR="000D3EF0" w:rsidRDefault="00FC565C">
      <w:pPr>
        <w:spacing w:line="300" w:lineRule="exact"/>
        <w:jc w:val="both"/>
      </w:pPr>
      <w:r>
        <w:t xml:space="preserve">5. </w:t>
      </w:r>
      <w:r>
        <w:rPr>
          <w:rStyle w:val="ustbparbustb"/>
        </w:rPr>
        <w:t>Przetarg ogłasza Nadleśniczy Nadleśnictwa Konin w sposób zwyczajowo przyjęty, poprzez wywieszenie ogłoszenia na tablicy informacyjnej w siedzibie nadleśnictwa, na stronie internetowej (www.konin.l</w:t>
      </w:r>
      <w:r w:rsidR="00602704">
        <w:rPr>
          <w:rStyle w:val="ustbparbustb"/>
        </w:rPr>
        <w:t>asy.gov.pl) oraz w  siedzibie</w:t>
      </w:r>
      <w:r w:rsidR="00640032">
        <w:rPr>
          <w:rStyle w:val="ustbparbustb"/>
        </w:rPr>
        <w:t xml:space="preserve"> Urzędu </w:t>
      </w:r>
      <w:r>
        <w:rPr>
          <w:rStyle w:val="ustbparbustb"/>
        </w:rPr>
        <w:t xml:space="preserve"> </w:t>
      </w:r>
      <w:r w:rsidR="00640032">
        <w:rPr>
          <w:rStyle w:val="ustbparbustb"/>
        </w:rPr>
        <w:t>M</w:t>
      </w:r>
      <w:r>
        <w:rPr>
          <w:rStyle w:val="ustbparbustb"/>
        </w:rPr>
        <w:t>iast</w:t>
      </w:r>
      <w:r w:rsidR="007E7FCC">
        <w:rPr>
          <w:rStyle w:val="ustbparbustb"/>
        </w:rPr>
        <w:t>a</w:t>
      </w:r>
      <w:r>
        <w:rPr>
          <w:rStyle w:val="ustbparbustb"/>
        </w:rPr>
        <w:t xml:space="preserve"> </w:t>
      </w:r>
      <w:r w:rsidR="00640032">
        <w:rPr>
          <w:rStyle w:val="ustbparbustb"/>
        </w:rPr>
        <w:t>i G</w:t>
      </w:r>
      <w:r>
        <w:rPr>
          <w:rStyle w:val="ustbparbustb"/>
        </w:rPr>
        <w:t>min</w:t>
      </w:r>
      <w:r w:rsidR="00640032">
        <w:rPr>
          <w:rStyle w:val="ustbparbustb"/>
        </w:rPr>
        <w:t>y Sompolno, na terenie której</w:t>
      </w:r>
      <w:r>
        <w:rPr>
          <w:rStyle w:val="ustbparbustb"/>
        </w:rPr>
        <w:t xml:space="preserve">, położone są  grunty pod wodami, na nie mniej niż 14 dni przed </w:t>
      </w:r>
      <w:r w:rsidR="00602704">
        <w:rPr>
          <w:rStyle w:val="ustbparbustb"/>
        </w:rPr>
        <w:t>otwa</w:t>
      </w:r>
      <w:r w:rsidR="007E7FCC">
        <w:rPr>
          <w:rStyle w:val="ustbparbustb"/>
        </w:rPr>
        <w:t>rciem</w:t>
      </w:r>
      <w:r w:rsidR="00602704">
        <w:rPr>
          <w:rStyle w:val="ustbparbustb"/>
        </w:rPr>
        <w:t xml:space="preserve"> ofert</w:t>
      </w:r>
      <w:r>
        <w:rPr>
          <w:rStyle w:val="ustbparbustb"/>
        </w:rPr>
        <w:t xml:space="preserve"> przetargu nieograniczonego.</w:t>
      </w:r>
    </w:p>
    <w:p w:rsidR="000D3EF0" w:rsidRDefault="00FC565C">
      <w:pPr>
        <w:spacing w:line="300" w:lineRule="exact"/>
        <w:jc w:val="both"/>
      </w:pPr>
      <w:r>
        <w:rPr>
          <w:rStyle w:val="ustbparbustb"/>
        </w:rPr>
        <w:t xml:space="preserve">6. </w:t>
      </w:r>
      <w:r>
        <w:t>W jednym ogłoszeniu można zamieścić informacje o przetargach na jeden lub więcej  gruntów pod wodami.</w:t>
      </w:r>
    </w:p>
    <w:p w:rsidR="000D3EF0" w:rsidRDefault="00FC565C">
      <w:pPr>
        <w:spacing w:line="300" w:lineRule="exact"/>
        <w:jc w:val="both"/>
      </w:pPr>
      <w:r>
        <w:t>7. W ogłoszeniu o przetargu podaje się w szczególności:</w:t>
      </w:r>
    </w:p>
    <w:p w:rsidR="00340F1B" w:rsidRDefault="00FC565C" w:rsidP="00340F1B">
      <w:pPr>
        <w:spacing w:line="300" w:lineRule="exact"/>
        <w:ind w:left="540" w:hanging="360"/>
        <w:jc w:val="both"/>
      </w:pPr>
      <w:r>
        <w:rPr>
          <w:rStyle w:val="pktl"/>
        </w:rPr>
        <w:t>1</w:t>
      </w:r>
      <w:r w:rsidR="00340F1B">
        <w:rPr>
          <w:rStyle w:val="pktl"/>
        </w:rPr>
        <w:t xml:space="preserve">) </w:t>
      </w:r>
      <w:r w:rsidR="00340F1B">
        <w:t xml:space="preserve">oznaczenie i powierzchnię gruntów pod wodami, </w:t>
      </w:r>
    </w:p>
    <w:p w:rsidR="00340F1B" w:rsidRDefault="00340F1B" w:rsidP="00640032">
      <w:pPr>
        <w:spacing w:line="300" w:lineRule="exact"/>
        <w:ind w:left="284" w:hanging="142"/>
        <w:jc w:val="both"/>
      </w:pPr>
      <w:r>
        <w:t>2</w:t>
      </w:r>
      <w:r w:rsidR="00640032">
        <w:t>)</w:t>
      </w:r>
      <w:r>
        <w:t xml:space="preserve">oznaczenie księgi wieczystej prowadzonej dla gruntów pod wodami albo informację, </w:t>
      </w:r>
      <w:r>
        <w:br/>
        <w:t>że księga nie jest prowadzona,</w:t>
      </w:r>
    </w:p>
    <w:p w:rsidR="000D3EF0" w:rsidRDefault="00340F1B" w:rsidP="00340F1B">
      <w:pPr>
        <w:spacing w:line="300" w:lineRule="exact"/>
        <w:ind w:left="540" w:hanging="360"/>
      </w:pPr>
      <w:r>
        <w:rPr>
          <w:rStyle w:val="pktl"/>
        </w:rPr>
        <w:t>3</w:t>
      </w:r>
      <w:r w:rsidR="00FC565C">
        <w:rPr>
          <w:rStyle w:val="pktl"/>
        </w:rPr>
        <w:t xml:space="preserve">)  </w:t>
      </w:r>
      <w:r w:rsidR="00FC565C">
        <w:t>okres dzierżawy,</w:t>
      </w:r>
    </w:p>
    <w:p w:rsidR="000D3EF0" w:rsidRDefault="00340F1B">
      <w:pPr>
        <w:spacing w:line="300" w:lineRule="exact"/>
        <w:ind w:firstLine="180"/>
        <w:jc w:val="both"/>
      </w:pPr>
      <w:r>
        <w:rPr>
          <w:rStyle w:val="pktl"/>
        </w:rPr>
        <w:t>4</w:t>
      </w:r>
      <w:r w:rsidR="00FC565C">
        <w:rPr>
          <w:rStyle w:val="pktl"/>
        </w:rPr>
        <w:t xml:space="preserve">)  </w:t>
      </w:r>
      <w:r w:rsidR="00FC565C">
        <w:t>termin i miejsce przetargu,</w:t>
      </w:r>
      <w:r w:rsidR="00640032">
        <w:t xml:space="preserve"> </w:t>
      </w:r>
    </w:p>
    <w:p w:rsidR="000D3EF0" w:rsidRDefault="00340F1B">
      <w:pPr>
        <w:spacing w:line="300" w:lineRule="exact"/>
        <w:ind w:firstLine="180"/>
        <w:jc w:val="both"/>
      </w:pPr>
      <w:r>
        <w:rPr>
          <w:rStyle w:val="pktl"/>
        </w:rPr>
        <w:t>5</w:t>
      </w:r>
      <w:r w:rsidR="00FC565C">
        <w:rPr>
          <w:rStyle w:val="pktl"/>
        </w:rPr>
        <w:t xml:space="preserve">)  </w:t>
      </w:r>
      <w:r w:rsidR="00FC565C">
        <w:t xml:space="preserve">wywoławczą wysokość czynszu, </w:t>
      </w:r>
    </w:p>
    <w:p w:rsidR="000D3EF0" w:rsidRDefault="00340F1B">
      <w:pPr>
        <w:spacing w:line="300" w:lineRule="exact"/>
        <w:ind w:firstLine="180"/>
        <w:jc w:val="both"/>
      </w:pPr>
      <w:r>
        <w:t>6</w:t>
      </w:r>
      <w:r w:rsidR="00FC565C">
        <w:t xml:space="preserve">)  wymagania, jakim powinna odpowiadać oferta, </w:t>
      </w:r>
    </w:p>
    <w:p w:rsidR="000D3EF0" w:rsidRDefault="00340F1B">
      <w:pPr>
        <w:spacing w:line="300" w:lineRule="exact"/>
        <w:ind w:firstLine="180"/>
        <w:jc w:val="both"/>
      </w:pPr>
      <w:r>
        <w:t>7</w:t>
      </w:r>
      <w:r w:rsidR="00FC565C">
        <w:t xml:space="preserve">)  termin i miejsce złożenia oferty, </w:t>
      </w:r>
    </w:p>
    <w:p w:rsidR="000D3EF0" w:rsidRDefault="00340F1B">
      <w:pPr>
        <w:spacing w:line="300" w:lineRule="exact"/>
        <w:ind w:left="540" w:hanging="360"/>
        <w:jc w:val="both"/>
      </w:pPr>
      <w:r>
        <w:rPr>
          <w:rStyle w:val="pktl"/>
        </w:rPr>
        <w:t>8</w:t>
      </w:r>
      <w:r w:rsidR="00FC565C">
        <w:rPr>
          <w:rStyle w:val="pktl"/>
        </w:rPr>
        <w:t xml:space="preserve">) </w:t>
      </w:r>
      <w:r w:rsidR="00FC565C">
        <w:t>informację, że organizator przetargu bez podania przyczyn może przed rozpoczęciem przetargu odstąpić od jego przeprowadzenia,</w:t>
      </w:r>
    </w:p>
    <w:p w:rsidR="000D3EF0" w:rsidRDefault="00340F1B">
      <w:pPr>
        <w:spacing w:line="300" w:lineRule="exact"/>
        <w:ind w:left="540" w:hanging="360"/>
        <w:jc w:val="both"/>
      </w:pPr>
      <w:r>
        <w:rPr>
          <w:rStyle w:val="pktl"/>
        </w:rPr>
        <w:t>9</w:t>
      </w:r>
      <w:r w:rsidR="00FC565C">
        <w:rPr>
          <w:rStyle w:val="pktl"/>
        </w:rPr>
        <w:t xml:space="preserve">) </w:t>
      </w:r>
      <w:r w:rsidR="00FC565C">
        <w:t>informację o miejscu i czasie, w jakim można zapoznać się przed przetargiem z postanowieniami regulaminu przetargu oraz projektem umowy dzierżawy,</w:t>
      </w:r>
    </w:p>
    <w:p w:rsidR="000D3EF0" w:rsidRDefault="00FC565C">
      <w:pPr>
        <w:spacing w:line="300" w:lineRule="exact"/>
        <w:ind w:left="540" w:hanging="540"/>
        <w:jc w:val="both"/>
      </w:pPr>
      <w:r>
        <w:t>8.  Oferta pisemna powinna zawierać:</w:t>
      </w:r>
    </w:p>
    <w:p w:rsidR="000D3EF0" w:rsidRDefault="00FC565C">
      <w:pPr>
        <w:ind w:firstLine="180"/>
        <w:jc w:val="both"/>
      </w:pPr>
      <w:r>
        <w:t>1) imię, nazwisko i adres lub nazwę (firmę) i siedzibę oferenta,</w:t>
      </w:r>
    </w:p>
    <w:p w:rsidR="000D3EF0" w:rsidRDefault="00FC565C">
      <w:pPr>
        <w:ind w:firstLine="180"/>
        <w:jc w:val="both"/>
      </w:pPr>
      <w:r>
        <w:rPr>
          <w:rStyle w:val="pktl"/>
        </w:rPr>
        <w:t xml:space="preserve">2) </w:t>
      </w:r>
      <w:r>
        <w:t>oferowaną wysokość czynszu,</w:t>
      </w:r>
    </w:p>
    <w:p w:rsidR="000D3EF0" w:rsidRDefault="00FC565C">
      <w:pPr>
        <w:ind w:firstLine="180"/>
        <w:jc w:val="both"/>
      </w:pPr>
      <w:r>
        <w:rPr>
          <w:rStyle w:val="pktl"/>
        </w:rPr>
        <w:t xml:space="preserve">3) </w:t>
      </w:r>
      <w:r>
        <w:t>oświadczenie oferenta, że zapoznał się z</w:t>
      </w:r>
      <w:r>
        <w:rPr>
          <w:color w:val="339966"/>
        </w:rPr>
        <w:t xml:space="preserve"> </w:t>
      </w:r>
      <w:r>
        <w:t>przedmiotem przetargu,</w:t>
      </w:r>
    </w:p>
    <w:p w:rsidR="000D3EF0" w:rsidRDefault="00FC565C">
      <w:pPr>
        <w:ind w:firstLine="180"/>
        <w:jc w:val="both"/>
      </w:pPr>
      <w:r>
        <w:rPr>
          <w:rStyle w:val="pktl"/>
        </w:rPr>
        <w:t xml:space="preserve">4) </w:t>
      </w:r>
      <w:r>
        <w:t>inne dane wymagane przez organizatora przetargu, określone w ogłoszeniu o przetargu.</w:t>
      </w:r>
    </w:p>
    <w:p w:rsidR="000D3EF0" w:rsidRDefault="00FC565C">
      <w:pPr>
        <w:jc w:val="both"/>
      </w:pPr>
      <w:r>
        <w:t>9.  Ofertę, wraz z wymaganymi dokumentami, składa się w zaklejonej kopercie w miejscu i terminie określonym w ogłoszeniu o przetargu.</w:t>
      </w:r>
    </w:p>
    <w:p w:rsidR="000D3EF0" w:rsidRDefault="00FC565C">
      <w:pPr>
        <w:jc w:val="both"/>
      </w:pPr>
      <w:r>
        <w:t xml:space="preserve">10.  </w:t>
      </w:r>
      <w:r>
        <w:rPr>
          <w:rStyle w:val="ustbparbustb"/>
        </w:rPr>
        <w:t>Przetarg przeprowadza powołana przez organizatora przetargu komisja.</w:t>
      </w:r>
      <w:r>
        <w:t xml:space="preserve"> </w:t>
      </w:r>
    </w:p>
    <w:p w:rsidR="000D3EF0" w:rsidRDefault="00FC565C">
      <w:pPr>
        <w:jc w:val="both"/>
      </w:pPr>
      <w:r>
        <w:t xml:space="preserve">11. W razie konieczności uzupełnienia składu komisji przewodniczący zawiesza przetarg </w:t>
      </w:r>
      <w:r>
        <w:br/>
        <w:t>i informuje  uczestników  przetargu o terminie i miejscu wznowienia przetargu.</w:t>
      </w:r>
    </w:p>
    <w:p w:rsidR="00EE0455" w:rsidRDefault="00FC565C">
      <w:pPr>
        <w:jc w:val="both"/>
        <w:rPr>
          <w:rStyle w:val="ustbparbustb"/>
        </w:rPr>
      </w:pPr>
      <w:r>
        <w:t xml:space="preserve">12.  </w:t>
      </w:r>
      <w:r>
        <w:rPr>
          <w:rStyle w:val="ustbparbustb"/>
        </w:rPr>
        <w:t>Z przetargu komisja sporządza protokół, niezwłocznie po zakończeniu czynności przetargowych.</w:t>
      </w:r>
    </w:p>
    <w:p w:rsidR="000D3EF0" w:rsidRDefault="00FC565C">
      <w:pPr>
        <w:jc w:val="both"/>
      </w:pPr>
      <w:r>
        <w:rPr>
          <w:rStyle w:val="ustbparbustb"/>
        </w:rPr>
        <w:t xml:space="preserve">13.  </w:t>
      </w:r>
      <w:r>
        <w:t>Protokół powinien zawierać następujące informacje: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1)   </w:t>
      </w:r>
      <w:r>
        <w:t>termin, miejsce i rodzaj przetargu oraz datę sporządzenia protokołu,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2) </w:t>
      </w:r>
      <w:r>
        <w:t>oznaczenie gruntów pod wodami będących przedmiotem przetargu, według ewidencji gruntów i księgi wieczystej, jeżeli jest prowadzona,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3)   </w:t>
      </w:r>
      <w:r>
        <w:t>wykaz osób dopuszczonych i niedopuszczonych do uczestniczenia w przetargu,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4)  </w:t>
      </w:r>
      <w:r>
        <w:t>informację o złożonych ofertach oraz</w:t>
      </w:r>
      <w:r>
        <w:rPr>
          <w:color w:val="339966"/>
        </w:rPr>
        <w:t xml:space="preserve"> </w:t>
      </w:r>
      <w:r>
        <w:rPr>
          <w:color w:val="000000" w:themeColor="text1"/>
        </w:rPr>
        <w:t>w</w:t>
      </w:r>
      <w:r>
        <w:t>niosek wraz z uzasadnieniem w sprawie wyboru najkorzystniejszej oferty albo informację o niewybraniu żadnej z ofert,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5)   </w:t>
      </w:r>
      <w:r>
        <w:t>imię, nazwisko i adres lub nazwę (firmę) i siedzibę osoby wskazanej przez komisję przetargową do zawarcia umowy dzierżawy gruntów rolnych lub gruntów pod wodami,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6)   </w:t>
      </w:r>
      <w:r>
        <w:t>imiona, nazwiska i podpisy przewodniczącego oraz pozostałych członków komisji,</w:t>
      </w:r>
    </w:p>
    <w:p w:rsidR="000D3EF0" w:rsidRDefault="00FC565C">
      <w:pPr>
        <w:jc w:val="both"/>
      </w:pPr>
      <w:r>
        <w:t>14. Datę sporządzenia protokołu uważa się za dzień zamknięcia przetargu.</w:t>
      </w:r>
    </w:p>
    <w:p w:rsidR="000D3EF0" w:rsidRDefault="00FC565C">
      <w:pPr>
        <w:jc w:val="both"/>
      </w:pPr>
      <w:r>
        <w:lastRenderedPageBreak/>
        <w:t>15. Przetarg uważa się za nierozstrzygnięty, jeżeli: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1) </w:t>
      </w:r>
      <w:r>
        <w:t>nikt nie został zakwalifikowany do uczestnictwa w przetargu nieograniczonym albo nie wpłynęła żadna oferta na prz</w:t>
      </w:r>
      <w:r w:rsidR="0051274D">
        <w:t>etarg dla danego</w:t>
      </w:r>
      <w:r>
        <w:t xml:space="preserve"> gruntu pod wodami,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2)   </w:t>
      </w:r>
      <w:r>
        <w:t>żaden z uczestników nie zaoferował co najmniej wywoławczej wysokości czynszu,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3)   </w:t>
      </w:r>
      <w:r>
        <w:t>komisja odrzuciła wszystkie oferty lub nie wybrała żadnej oferty.</w:t>
      </w:r>
    </w:p>
    <w:p w:rsidR="000D3EF0" w:rsidRDefault="00FC565C">
      <w:pPr>
        <w:ind w:left="284" w:hanging="284"/>
        <w:jc w:val="both"/>
      </w:pPr>
      <w:r>
        <w:t>16. W razie stwierdzenia, że czynności związane z przeprowadzeniem przetargu zostały dokonane w sposób sprzeczny z ustawą lub innymi przepisami, których naruszenie miało  wpływ na wynik przetargu, nadleśniczy zarządza powtórzenie czynności przetargowych albo unieważnia przetarg.</w:t>
      </w:r>
    </w:p>
    <w:p w:rsidR="000D3EF0" w:rsidRDefault="00FC565C">
      <w:pPr>
        <w:jc w:val="both"/>
      </w:pPr>
      <w:r>
        <w:t>17. Przetarg ofert</w:t>
      </w:r>
      <w:r w:rsidR="00640032">
        <w:t>owy</w:t>
      </w:r>
      <w:r>
        <w:t xml:space="preserve"> przeprowadza się także w przypadku, gdy wpłynęła tylko jedna oferta spełniająca warunki określone w ogłoszeniu o przetargu. Komisja może dopuścić jawność wykonywania czynności, z wyjątkiem czynności, o których</w:t>
      </w:r>
      <w:r>
        <w:rPr>
          <w:color w:val="FF0000"/>
        </w:rPr>
        <w:t xml:space="preserve"> </w:t>
      </w:r>
      <w:r>
        <w:rPr>
          <w:color w:val="000000"/>
        </w:rPr>
        <w:t>mowa w pkt. 21.</w:t>
      </w:r>
    </w:p>
    <w:p w:rsidR="000D3EF0" w:rsidRDefault="00FC565C">
      <w:pPr>
        <w:jc w:val="both"/>
      </w:pPr>
      <w:r>
        <w:rPr>
          <w:color w:val="000000"/>
        </w:rPr>
        <w:t xml:space="preserve">18. </w:t>
      </w:r>
      <w:r>
        <w:t>Rozpoczynając przetarg, komisja: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1)   </w:t>
      </w:r>
      <w:r>
        <w:t>stwierdza prawidłowość ogłoszenia o przetargu,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2)   </w:t>
      </w:r>
      <w:r>
        <w:t>ustala liczbę złożonych ofert,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3) </w:t>
      </w:r>
      <w:r>
        <w:t>otwiera koperty z ofertami złożone w terminie i miejscu wskazanym w ogłoszeniu o przetargu.</w:t>
      </w:r>
    </w:p>
    <w:p w:rsidR="000D3EF0" w:rsidRDefault="00FC565C">
      <w:pPr>
        <w:jc w:val="both"/>
      </w:pPr>
      <w:r>
        <w:rPr>
          <w:color w:val="000000"/>
        </w:rPr>
        <w:t>19. K</w:t>
      </w:r>
      <w:r>
        <w:rPr>
          <w:rStyle w:val="ustbparbustb"/>
        </w:rPr>
        <w:t>omisja odrzuca ofertę, jeżeli: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1)  </w:t>
      </w:r>
      <w:r>
        <w:t>została złożona po wyznaczonym terminie lub w niewłaściwym miejscu,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2)  </w:t>
      </w:r>
      <w:r>
        <w:t>nie zawiera danych, o których mowa w pkt. 8, lub dane te są niekompletne, nieczytelne lub budzą inne wątpliwości, zaś złożenie wyjaśnień mogłoby prowadzić do uznania jej za nową ofertę;</w:t>
      </w:r>
    </w:p>
    <w:p w:rsidR="000D3EF0" w:rsidRDefault="00FC565C">
      <w:pPr>
        <w:ind w:left="540" w:hanging="360"/>
        <w:jc w:val="both"/>
      </w:pPr>
      <w:r>
        <w:rPr>
          <w:rStyle w:val="pktl"/>
        </w:rPr>
        <w:t xml:space="preserve">3)  </w:t>
      </w:r>
      <w:r>
        <w:t>uczestnik przetargu nie zaoferował co najmniej wywoławczej wysokości czynszu.</w:t>
      </w:r>
    </w:p>
    <w:p w:rsidR="000D3EF0" w:rsidRDefault="00FC565C">
      <w:pPr>
        <w:jc w:val="both"/>
      </w:pPr>
      <w:r>
        <w:t>20. O odrzuceniu oferty organizator przetargu zawiadamia niezwłocznie oferenta.</w:t>
      </w:r>
    </w:p>
    <w:p w:rsidR="000D3EF0" w:rsidRDefault="00FC565C">
      <w:pPr>
        <w:jc w:val="both"/>
      </w:pPr>
      <w:r>
        <w:t xml:space="preserve">21. </w:t>
      </w:r>
      <w:r>
        <w:rPr>
          <w:rStyle w:val="ustbparbustb"/>
        </w:rPr>
        <w:t xml:space="preserve">Oferty, które nie zostały odrzucone, komisja szczegółowo analizuje, biorąc pod uwagę zaoferowaną wysokość czynszu. </w:t>
      </w:r>
    </w:p>
    <w:p w:rsidR="000D3EF0" w:rsidRDefault="00FC565C">
      <w:pPr>
        <w:ind w:left="284" w:hanging="284"/>
        <w:jc w:val="both"/>
      </w:pPr>
      <w:r>
        <w:rPr>
          <w:rStyle w:val="ustl"/>
        </w:rPr>
        <w:t xml:space="preserve">22. </w:t>
      </w:r>
      <w:r>
        <w:t xml:space="preserve">Po dokonaniu oceny komisja zamieszcza w protokole przetargu wniosek w sprawie wyboru najkorzystniejszej oferty wraz z uzasadnieniem lub stwierdza, że nie wybrano żadnej z ofert. </w:t>
      </w:r>
    </w:p>
    <w:p w:rsidR="000D3EF0" w:rsidRDefault="00FC565C">
      <w:pPr>
        <w:ind w:left="284" w:hanging="284"/>
        <w:jc w:val="both"/>
      </w:pPr>
      <w:r>
        <w:rPr>
          <w:rStyle w:val="ustl"/>
        </w:rPr>
        <w:t xml:space="preserve">23. </w:t>
      </w:r>
      <w:r>
        <w:t xml:space="preserve">Komisja podejmuje rozstrzygnięcia w drodze głosowania, a w przypadku równej liczby głosów decyduje głos przewodniczącego komisji. </w:t>
      </w:r>
    </w:p>
    <w:p w:rsidR="000D3EF0" w:rsidRDefault="00FC565C">
      <w:pPr>
        <w:ind w:left="284" w:hanging="284"/>
        <w:jc w:val="both"/>
      </w:pPr>
      <w:r>
        <w:rPr>
          <w:rStyle w:val="ustl"/>
        </w:rPr>
        <w:t xml:space="preserve">24. </w:t>
      </w:r>
      <w:r>
        <w:t xml:space="preserve">Jeżeli ze względu na równorzędność ofert wybór jest utrudniony, komisja przeprowadza dodatkowy przetarg ustny ograniczony do oferentów, którzy złożyli równorzędne oferty. </w:t>
      </w:r>
    </w:p>
    <w:p w:rsidR="000D3EF0" w:rsidRDefault="00FC565C">
      <w:pPr>
        <w:ind w:left="284" w:hanging="284"/>
        <w:jc w:val="both"/>
      </w:pPr>
      <w:r>
        <w:t>25. Przetarg ustny ograniczony dla oferentów o których mowa w pkt. 24 przeprowadza się w  następujący sposób:</w:t>
      </w:r>
    </w:p>
    <w:p w:rsidR="000D3EF0" w:rsidRDefault="00FC565C">
      <w:pPr>
        <w:ind w:left="540" w:hanging="360"/>
        <w:jc w:val="both"/>
      </w:pPr>
      <w:r>
        <w:rPr>
          <w:rStyle w:val="ustl"/>
        </w:rPr>
        <w:t xml:space="preserve">1)  </w:t>
      </w:r>
      <w:r>
        <w:t>przewodniczący komisji wywołuje licytację, ogłaszając wywoławczą wysokość czynszu, i wzywa uczestników przetargu do zgłaszania postąpień. Jeżeli mimo trzykrotnego ogłoszenia wywoławczej wysokości czynszu żaden z uczestników przetargu nie zgłosił postąpienia, przewodniczący zamyka przetarg,</w:t>
      </w:r>
    </w:p>
    <w:p w:rsidR="000D3EF0" w:rsidRDefault="00FC565C">
      <w:pPr>
        <w:ind w:left="540" w:hanging="360"/>
        <w:jc w:val="both"/>
      </w:pPr>
      <w:r>
        <w:rPr>
          <w:rStyle w:val="ustl"/>
        </w:rPr>
        <w:t xml:space="preserve">2)  </w:t>
      </w:r>
      <w:r>
        <w:t>przewodniczący komisji ogłasza kolejne postąpienia zgłaszane ustnie przez uczestników przetargu dopóty, dopóki mimo trzykrotnego ogłoszenia tej samej wysokości czynszu nie ma dalszego postąpienia,</w:t>
      </w:r>
    </w:p>
    <w:p w:rsidR="000D3EF0" w:rsidRDefault="00FC565C">
      <w:pPr>
        <w:ind w:left="540" w:hanging="360"/>
        <w:jc w:val="both"/>
      </w:pPr>
      <w:r>
        <w:rPr>
          <w:rStyle w:val="ustl"/>
        </w:rPr>
        <w:t xml:space="preserve">3)  </w:t>
      </w:r>
      <w:r>
        <w:t xml:space="preserve">w przypadku braku dalszych postąpień przewodniczący komisji informuje uczestników przetargu, że po trzecim wywołaniu najwyższej zaoferowanej wysokości czynszu dalsze postąpienia nie zostaną przyjęte, po czym wywołuje trzykrotnie ostatnią najwyższą wysokość czynszu i zamyka licytację, </w:t>
      </w:r>
    </w:p>
    <w:p w:rsidR="000D3EF0" w:rsidRDefault="00FC565C">
      <w:pPr>
        <w:jc w:val="both"/>
      </w:pPr>
      <w:r>
        <w:t xml:space="preserve">   4)   licytację wygrywa uczestnik przetargu, który zgłosił najwyższą wysokość czynszu, </w:t>
      </w:r>
    </w:p>
    <w:p w:rsidR="000D3EF0" w:rsidRDefault="00FC565C">
      <w:pPr>
        <w:ind w:left="540" w:hanging="360"/>
        <w:jc w:val="both"/>
      </w:pPr>
      <w:r>
        <w:t>5)  przewodniczący komisji ogłasza imię i nazwisko albo nazwę (firmę) uczestnika przetargu, który wygrał licytację.</w:t>
      </w:r>
    </w:p>
    <w:p w:rsidR="000D3EF0" w:rsidRDefault="00FC565C">
      <w:pPr>
        <w:ind w:left="284" w:hanging="284"/>
        <w:jc w:val="both"/>
      </w:pPr>
      <w:r>
        <w:rPr>
          <w:rStyle w:val="ustl"/>
        </w:rPr>
        <w:t xml:space="preserve">26. </w:t>
      </w:r>
      <w:r>
        <w:t>W przypadku dodatkowego przetargu, o którym mowa w pkt. 24, komisja zawiadamia oferentów, którzy złożyli równorzędne oferty, o terminie i miejscu tego przetargu.</w:t>
      </w:r>
    </w:p>
    <w:p w:rsidR="000D3EF0" w:rsidRDefault="00FC565C">
      <w:pPr>
        <w:jc w:val="both"/>
      </w:pPr>
      <w:r>
        <w:t xml:space="preserve">27. </w:t>
      </w:r>
      <w:r>
        <w:rPr>
          <w:rStyle w:val="ustbparbustb"/>
        </w:rPr>
        <w:t xml:space="preserve">Wniosek komisji w sprawie wyboru najkorzystniejszej oferty podlega zatwierdzeniu przez  nadleśniczego. </w:t>
      </w:r>
    </w:p>
    <w:p w:rsidR="000D3EF0" w:rsidRDefault="00FC565C">
      <w:pPr>
        <w:jc w:val="both"/>
      </w:pPr>
      <w:r>
        <w:t xml:space="preserve">28. O wyniku przetargu nadleśniczy niezwłocznie zawiadamia uczestników przetargu, </w:t>
      </w:r>
      <w:r>
        <w:rPr>
          <w:color w:val="000000" w:themeColor="text1"/>
        </w:rPr>
        <w:t>poprzez  wywieszenie listy osób wygrywających, na tablicy ogłoszeń w siedzibie Nadleśnictwa Konin oraz na stronie internetowej Nadleśnictwa Konin.</w:t>
      </w:r>
    </w:p>
    <w:p w:rsidR="000D3EF0" w:rsidRDefault="000D3EF0">
      <w:pPr>
        <w:jc w:val="both"/>
      </w:pPr>
    </w:p>
    <w:p w:rsidR="000D3EF0" w:rsidRDefault="007A77FE" w:rsidP="007A77FE">
      <w:pPr>
        <w:ind w:left="5954"/>
        <w:jc w:val="center"/>
      </w:pPr>
      <w:r>
        <w:t>W oryginale podpisał:</w:t>
      </w:r>
    </w:p>
    <w:p w:rsidR="007A77FE" w:rsidRDefault="007A77FE" w:rsidP="007A77FE">
      <w:pPr>
        <w:ind w:left="5954"/>
        <w:jc w:val="center"/>
      </w:pPr>
      <w:r>
        <w:t>Nadleśniczy Nadleśnictwa Konin</w:t>
      </w:r>
    </w:p>
    <w:p w:rsidR="007A77FE" w:rsidRDefault="007A77FE" w:rsidP="007A77FE">
      <w:pPr>
        <w:ind w:left="5954"/>
        <w:jc w:val="center"/>
      </w:pPr>
      <w:r>
        <w:t>Waldemar Kubiak</w:t>
      </w:r>
    </w:p>
    <w:p w:rsidR="000D3EF0" w:rsidRDefault="000D3EF0">
      <w:pPr>
        <w:jc w:val="both"/>
      </w:pPr>
    </w:p>
    <w:p w:rsidR="000D3EF0" w:rsidRDefault="000D3EF0">
      <w:pPr>
        <w:jc w:val="both"/>
      </w:pPr>
      <w:bookmarkStart w:id="1" w:name="_GoBack"/>
      <w:bookmarkEnd w:id="1"/>
    </w:p>
    <w:p w:rsidR="000D3EF0" w:rsidRDefault="000D3EF0">
      <w:pPr>
        <w:jc w:val="both"/>
      </w:pPr>
    </w:p>
    <w:p w:rsidR="000D3EF0" w:rsidRDefault="000D3EF0">
      <w:pPr>
        <w:jc w:val="both"/>
      </w:pPr>
    </w:p>
    <w:sectPr w:rsidR="000D3EF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B1E"/>
    <w:multiLevelType w:val="multilevel"/>
    <w:tmpl w:val="61EC03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1F539D"/>
    <w:multiLevelType w:val="multilevel"/>
    <w:tmpl w:val="DEC2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F0"/>
    <w:rsid w:val="000D3EF0"/>
    <w:rsid w:val="001243E1"/>
    <w:rsid w:val="001D33CB"/>
    <w:rsid w:val="002C096F"/>
    <w:rsid w:val="00305B53"/>
    <w:rsid w:val="00340F1B"/>
    <w:rsid w:val="004A3446"/>
    <w:rsid w:val="0051274D"/>
    <w:rsid w:val="005D1649"/>
    <w:rsid w:val="00602704"/>
    <w:rsid w:val="00640032"/>
    <w:rsid w:val="007A77FE"/>
    <w:rsid w:val="007E7FCC"/>
    <w:rsid w:val="008124F5"/>
    <w:rsid w:val="009362AF"/>
    <w:rsid w:val="009A6E08"/>
    <w:rsid w:val="00B5110C"/>
    <w:rsid w:val="00B60D66"/>
    <w:rsid w:val="00BC3D8D"/>
    <w:rsid w:val="00E36BF7"/>
    <w:rsid w:val="00EE0455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tbparbustb">
    <w:name w:val="ustb parb_ustb"/>
    <w:basedOn w:val="Domylnaczcionkaakapitu"/>
    <w:qFormat/>
    <w:rsid w:val="00CB3400"/>
  </w:style>
  <w:style w:type="character" w:customStyle="1" w:styleId="pktl">
    <w:name w:val="pktl"/>
    <w:basedOn w:val="Domylnaczcionkaakapitu"/>
    <w:qFormat/>
    <w:rsid w:val="00CB3400"/>
  </w:style>
  <w:style w:type="character" w:customStyle="1" w:styleId="ustl">
    <w:name w:val="ustl"/>
    <w:basedOn w:val="Domylnaczcionkaakapitu"/>
    <w:qFormat/>
    <w:rsid w:val="00CB3400"/>
  </w:style>
  <w:style w:type="character" w:customStyle="1" w:styleId="LPzwykly">
    <w:name w:val="LP_zwykly"/>
    <w:basedOn w:val="Domylnaczcionkaakapitu"/>
    <w:qFormat/>
    <w:rsid w:val="00E25790"/>
  </w:style>
  <w:style w:type="character" w:customStyle="1" w:styleId="czeinternetowe">
    <w:name w:val="Łącze internetowe"/>
    <w:basedOn w:val="Domylnaczcionkaakapitu"/>
    <w:uiPriority w:val="99"/>
    <w:unhideWhenUsed/>
    <w:rsid w:val="00BC7F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71308E"/>
    <w:pPr>
      <w:ind w:left="720"/>
      <w:contextualSpacing/>
    </w:pPr>
  </w:style>
  <w:style w:type="paragraph" w:customStyle="1" w:styleId="LPmiejscowo">
    <w:name w:val="LP_miejscowość"/>
    <w:qFormat/>
    <w:rsid w:val="00E25790"/>
    <w:pPr>
      <w:jc w:val="right"/>
    </w:pPr>
    <w:rPr>
      <w:rFonts w:ascii="Arial" w:eastAsia="Times New Roman" w:hAnsi="Arial" w:cs="Arial"/>
      <w:color w:val="00000A"/>
      <w:sz w:val="24"/>
      <w:szCs w:val="20"/>
      <w:lang w:eastAsia="pl-PL"/>
    </w:rPr>
  </w:style>
  <w:style w:type="paragraph" w:customStyle="1" w:styleId="LPsygnatura">
    <w:name w:val="LP_sygnatura"/>
    <w:qFormat/>
    <w:rsid w:val="00E25790"/>
    <w:pPr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25790"/>
    <w:pPr>
      <w:spacing w:beforeAutospacing="1" w:afterAutospacing="1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0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5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8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tbparbustb">
    <w:name w:val="ustb parb_ustb"/>
    <w:basedOn w:val="Domylnaczcionkaakapitu"/>
    <w:qFormat/>
    <w:rsid w:val="00CB3400"/>
  </w:style>
  <w:style w:type="character" w:customStyle="1" w:styleId="pktl">
    <w:name w:val="pktl"/>
    <w:basedOn w:val="Domylnaczcionkaakapitu"/>
    <w:qFormat/>
    <w:rsid w:val="00CB3400"/>
  </w:style>
  <w:style w:type="character" w:customStyle="1" w:styleId="ustl">
    <w:name w:val="ustl"/>
    <w:basedOn w:val="Domylnaczcionkaakapitu"/>
    <w:qFormat/>
    <w:rsid w:val="00CB3400"/>
  </w:style>
  <w:style w:type="character" w:customStyle="1" w:styleId="LPzwykly">
    <w:name w:val="LP_zwykly"/>
    <w:basedOn w:val="Domylnaczcionkaakapitu"/>
    <w:qFormat/>
    <w:rsid w:val="00E25790"/>
  </w:style>
  <w:style w:type="character" w:customStyle="1" w:styleId="czeinternetowe">
    <w:name w:val="Łącze internetowe"/>
    <w:basedOn w:val="Domylnaczcionkaakapitu"/>
    <w:uiPriority w:val="99"/>
    <w:unhideWhenUsed/>
    <w:rsid w:val="00BC7F5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71308E"/>
    <w:pPr>
      <w:ind w:left="720"/>
      <w:contextualSpacing/>
    </w:pPr>
  </w:style>
  <w:style w:type="paragraph" w:customStyle="1" w:styleId="LPmiejscowo">
    <w:name w:val="LP_miejscowość"/>
    <w:qFormat/>
    <w:rsid w:val="00E25790"/>
    <w:pPr>
      <w:jc w:val="right"/>
    </w:pPr>
    <w:rPr>
      <w:rFonts w:ascii="Arial" w:eastAsia="Times New Roman" w:hAnsi="Arial" w:cs="Arial"/>
      <w:color w:val="00000A"/>
      <w:sz w:val="24"/>
      <w:szCs w:val="20"/>
      <w:lang w:eastAsia="pl-PL"/>
    </w:rPr>
  </w:style>
  <w:style w:type="paragraph" w:customStyle="1" w:styleId="LPsygnatura">
    <w:name w:val="LP_sygnatura"/>
    <w:qFormat/>
    <w:rsid w:val="00E25790"/>
    <w:pPr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25790"/>
    <w:pPr>
      <w:spacing w:beforeAutospacing="1" w:afterAutospacing="1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0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5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dc:description/>
  <cp:lastModifiedBy>Szafrański Tomasz</cp:lastModifiedBy>
  <cp:revision>31</cp:revision>
  <cp:lastPrinted>2020-09-22T12:59:00Z</cp:lastPrinted>
  <dcterms:created xsi:type="dcterms:W3CDTF">2018-04-24T07:59:00Z</dcterms:created>
  <dcterms:modified xsi:type="dcterms:W3CDTF">2020-11-06T11:47:00Z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